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2F26" w14:textId="54C24C36" w:rsidR="00D258ED" w:rsidRPr="00C67D85" w:rsidRDefault="00D258ED" w:rsidP="00C67D85">
      <w:pPr>
        <w:spacing w:after="0" w:line="240" w:lineRule="auto"/>
        <w:jc w:val="center"/>
        <w:rPr>
          <w:b/>
          <w:bCs/>
          <w:sz w:val="32"/>
          <w:szCs w:val="32"/>
        </w:rPr>
      </w:pPr>
      <w:r w:rsidRPr="00C67D85">
        <w:rPr>
          <w:b/>
          <w:bCs/>
          <w:sz w:val="32"/>
          <w:szCs w:val="32"/>
        </w:rPr>
        <w:t>Home learning - Year group overview</w:t>
      </w:r>
    </w:p>
    <w:p w14:paraId="3F44773B" w14:textId="7FF63453" w:rsidR="00D258ED" w:rsidRPr="00C67D85" w:rsidRDefault="00D258ED" w:rsidP="00C67D85">
      <w:pPr>
        <w:spacing w:after="0" w:line="240" w:lineRule="auto"/>
        <w:jc w:val="center"/>
        <w:rPr>
          <w:b/>
          <w:bCs/>
          <w:sz w:val="32"/>
          <w:szCs w:val="32"/>
        </w:rPr>
      </w:pPr>
      <w:r w:rsidRPr="00C67D85">
        <w:rPr>
          <w:sz w:val="32"/>
          <w:szCs w:val="32"/>
        </w:rPr>
        <w:t xml:space="preserve">Subject – </w:t>
      </w:r>
      <w:r w:rsidR="00682AC9">
        <w:rPr>
          <w:sz w:val="32"/>
          <w:szCs w:val="32"/>
        </w:rPr>
        <w:t>Technical</w:t>
      </w:r>
    </w:p>
    <w:p w14:paraId="63D3B250" w14:textId="7833B71D" w:rsidR="00D258ED" w:rsidRDefault="00D258ED" w:rsidP="00D258ED"/>
    <w:tbl>
      <w:tblPr>
        <w:tblStyle w:val="TableGrid"/>
        <w:tblW w:w="15310" w:type="dxa"/>
        <w:tblInd w:w="-714" w:type="dxa"/>
        <w:tblLayout w:type="fixed"/>
        <w:tblLook w:val="04A0" w:firstRow="1" w:lastRow="0" w:firstColumn="1" w:lastColumn="0" w:noHBand="0" w:noVBand="1"/>
      </w:tblPr>
      <w:tblGrid>
        <w:gridCol w:w="1812"/>
        <w:gridCol w:w="1732"/>
        <w:gridCol w:w="2552"/>
        <w:gridCol w:w="2410"/>
        <w:gridCol w:w="6804"/>
      </w:tblGrid>
      <w:tr w:rsidR="00821F9F" w14:paraId="0BD61A49" w14:textId="77777777" w:rsidTr="00682AC9">
        <w:tc>
          <w:tcPr>
            <w:tcW w:w="1812" w:type="dxa"/>
          </w:tcPr>
          <w:p w14:paraId="4B6C86F8" w14:textId="77777777" w:rsidR="00D258ED" w:rsidRDefault="00D258ED" w:rsidP="00175478"/>
        </w:tc>
        <w:tc>
          <w:tcPr>
            <w:tcW w:w="1732" w:type="dxa"/>
          </w:tcPr>
          <w:p w14:paraId="1D82C51E" w14:textId="77777777" w:rsidR="00D258ED" w:rsidRDefault="00D258ED" w:rsidP="00175478">
            <w:r>
              <w:t>Topics</w:t>
            </w:r>
          </w:p>
        </w:tc>
        <w:tc>
          <w:tcPr>
            <w:tcW w:w="2552" w:type="dxa"/>
          </w:tcPr>
          <w:p w14:paraId="3CD0CE64" w14:textId="77777777" w:rsidR="00D258ED" w:rsidRDefault="00D258ED" w:rsidP="00175478">
            <w:r>
              <w:t xml:space="preserve">Resources available  </w:t>
            </w:r>
          </w:p>
        </w:tc>
        <w:tc>
          <w:tcPr>
            <w:tcW w:w="2410" w:type="dxa"/>
          </w:tcPr>
          <w:p w14:paraId="318A988A" w14:textId="77777777" w:rsidR="00D258ED" w:rsidRDefault="00D258ED" w:rsidP="00175478">
            <w:r>
              <w:t xml:space="preserve">Communication method </w:t>
            </w:r>
          </w:p>
        </w:tc>
        <w:tc>
          <w:tcPr>
            <w:tcW w:w="6804" w:type="dxa"/>
            <w:tcBorders>
              <w:bottom w:val="single" w:sz="4" w:space="0" w:color="auto"/>
            </w:tcBorders>
          </w:tcPr>
          <w:p w14:paraId="2D0AA12E" w14:textId="77777777" w:rsidR="00D258ED" w:rsidRDefault="00D258ED" w:rsidP="00175478">
            <w:r>
              <w:t>Web links</w:t>
            </w:r>
          </w:p>
        </w:tc>
      </w:tr>
      <w:tr w:rsidR="00651B83" w14:paraId="047875A6" w14:textId="77777777" w:rsidTr="00682AC9">
        <w:trPr>
          <w:trHeight w:val="1716"/>
        </w:trPr>
        <w:tc>
          <w:tcPr>
            <w:tcW w:w="1812" w:type="dxa"/>
            <w:tcBorders>
              <w:bottom w:val="single" w:sz="4" w:space="0" w:color="auto"/>
            </w:tcBorders>
          </w:tcPr>
          <w:p w14:paraId="2FBB1B51" w14:textId="720286D8" w:rsidR="008059CF" w:rsidRDefault="008059CF" w:rsidP="00175478">
            <w:r>
              <w:t>S1 and S2</w:t>
            </w:r>
          </w:p>
        </w:tc>
        <w:tc>
          <w:tcPr>
            <w:tcW w:w="1732" w:type="dxa"/>
            <w:tcBorders>
              <w:bottom w:val="single" w:sz="4" w:space="0" w:color="auto"/>
            </w:tcBorders>
          </w:tcPr>
          <w:p w14:paraId="3813C021" w14:textId="30AB6A09" w:rsidR="008059CF" w:rsidRDefault="00682AC9" w:rsidP="00175478">
            <w:r>
              <w:t xml:space="preserve">Various tasks </w:t>
            </w:r>
          </w:p>
        </w:tc>
        <w:tc>
          <w:tcPr>
            <w:tcW w:w="2552" w:type="dxa"/>
            <w:tcBorders>
              <w:bottom w:val="single" w:sz="4" w:space="0" w:color="auto"/>
            </w:tcBorders>
          </w:tcPr>
          <w:p w14:paraId="68BE7353" w14:textId="2B9FBDC8" w:rsidR="008059CF" w:rsidRDefault="00682AC9" w:rsidP="00175478">
            <w:pPr>
              <w:rPr>
                <w:sz w:val="18"/>
                <w:szCs w:val="18"/>
              </w:rPr>
            </w:pPr>
            <w:r>
              <w:rPr>
                <w:sz w:val="18"/>
                <w:szCs w:val="18"/>
              </w:rPr>
              <w:t xml:space="preserve">Mr </w:t>
            </w:r>
            <w:proofErr w:type="spellStart"/>
            <w:r>
              <w:rPr>
                <w:sz w:val="18"/>
                <w:szCs w:val="18"/>
              </w:rPr>
              <w:t>Rollings</w:t>
            </w:r>
            <w:proofErr w:type="spellEnd"/>
            <w:r>
              <w:rPr>
                <w:sz w:val="18"/>
                <w:szCs w:val="18"/>
              </w:rPr>
              <w:t xml:space="preserve"> has supplied S1 &amp; S2 tasks through Show my homework.</w:t>
            </w:r>
          </w:p>
        </w:tc>
        <w:tc>
          <w:tcPr>
            <w:tcW w:w="2410" w:type="dxa"/>
            <w:vMerge w:val="restart"/>
            <w:tcBorders>
              <w:bottom w:val="single" w:sz="4" w:space="0" w:color="auto"/>
            </w:tcBorders>
          </w:tcPr>
          <w:p w14:paraId="6D5B1FF9" w14:textId="743CD9D4" w:rsidR="008059CF" w:rsidRDefault="00651B83" w:rsidP="00175478">
            <w:r>
              <w:t>SMHW weekly updates</w:t>
            </w:r>
          </w:p>
          <w:p w14:paraId="52F07ECD" w14:textId="60BD98C7" w:rsidR="00821F9F" w:rsidRDefault="00821F9F" w:rsidP="00821F9F">
            <w:r>
              <w:t>Glow email</w:t>
            </w:r>
            <w:r w:rsidR="00651B83">
              <w:t xml:space="preserve"> -</w:t>
            </w:r>
            <w:r w:rsidR="008059CF">
              <w:t xml:space="preserve"> </w:t>
            </w:r>
            <w:r w:rsidR="00651B83">
              <w:t>any time</w:t>
            </w:r>
          </w:p>
          <w:p w14:paraId="649B0074" w14:textId="22D3BD97" w:rsidR="00C67D85" w:rsidRDefault="00C67D85" w:rsidP="00821F9F">
            <w:r>
              <w:t xml:space="preserve">Task assessments and teacher </w:t>
            </w:r>
            <w:proofErr w:type="gramStart"/>
            <w:r>
              <w:t>comments  on</w:t>
            </w:r>
            <w:proofErr w:type="gramEnd"/>
            <w:r>
              <w:t xml:space="preserve"> SMHW</w:t>
            </w:r>
          </w:p>
          <w:p w14:paraId="38652496" w14:textId="50D22C6D" w:rsidR="008059CF" w:rsidRDefault="008059CF" w:rsidP="00821F9F"/>
        </w:tc>
        <w:tc>
          <w:tcPr>
            <w:tcW w:w="6804" w:type="dxa"/>
            <w:vMerge w:val="restart"/>
            <w:tcBorders>
              <w:bottom w:val="single" w:sz="4" w:space="0" w:color="auto"/>
            </w:tcBorders>
          </w:tcPr>
          <w:p w14:paraId="424696D7" w14:textId="77777777" w:rsidR="008059CF" w:rsidRDefault="00682AC9" w:rsidP="00175478">
            <w:r>
              <w:t>Links are supplied within document</w:t>
            </w:r>
            <w:r w:rsidR="00CF2989">
              <w:t>.</w:t>
            </w:r>
          </w:p>
          <w:p w14:paraId="38BC258E" w14:textId="77777777" w:rsidR="00CF2989" w:rsidRDefault="00CF2989" w:rsidP="00175478"/>
          <w:p w14:paraId="56E309AA" w14:textId="77777777" w:rsidR="00CF2989" w:rsidRDefault="00CF2989" w:rsidP="00CF2989">
            <w:pPr>
              <w:tabs>
                <w:tab w:val="left" w:pos="1700"/>
              </w:tabs>
            </w:pPr>
          </w:p>
          <w:p w14:paraId="3EFD1749" w14:textId="1DC7C4CD" w:rsidR="00CF2989" w:rsidRDefault="00CF2989" w:rsidP="00175478">
            <w:r>
              <w:t xml:space="preserve">Links are supplied within document. </w:t>
            </w:r>
            <w:r w:rsidR="00D628BB">
              <w:t>YouTube</w:t>
            </w:r>
            <w:r>
              <w:t xml:space="preserve"> has a huge </w:t>
            </w:r>
            <w:proofErr w:type="gramStart"/>
            <w:r>
              <w:t>amount</w:t>
            </w:r>
            <w:proofErr w:type="gramEnd"/>
            <w:r>
              <w:t xml:space="preserve"> of tutorials on rendering and sketching. Everyone has </w:t>
            </w:r>
            <w:proofErr w:type="spellStart"/>
            <w:proofErr w:type="gramStart"/>
            <w:r>
              <w:t>there</w:t>
            </w:r>
            <w:proofErr w:type="gramEnd"/>
            <w:r>
              <w:t xml:space="preserve"> own</w:t>
            </w:r>
            <w:proofErr w:type="spellEnd"/>
            <w:r>
              <w:t xml:space="preserve"> unique way of doing this so find the one that best suits you!</w:t>
            </w:r>
          </w:p>
          <w:p w14:paraId="72A96960" w14:textId="77777777" w:rsidR="00CF2989" w:rsidRDefault="00CF2989" w:rsidP="00175478"/>
          <w:p w14:paraId="50CC9286" w14:textId="77777777" w:rsidR="00CF2989" w:rsidRDefault="00CF2989" w:rsidP="00175478">
            <w:r>
              <w:t>Due to the nature of the subject we cannot offer practical activities for home study. If you wish to watch tutorials online, here are the woodworking joints we would cover:</w:t>
            </w:r>
          </w:p>
          <w:p w14:paraId="230ADB95" w14:textId="189AAD46" w:rsidR="00CF2989" w:rsidRDefault="00CF2989" w:rsidP="00CF2989">
            <w:pPr>
              <w:pStyle w:val="ListParagraph"/>
              <w:numPr>
                <w:ilvl w:val="0"/>
                <w:numId w:val="1"/>
              </w:numPr>
            </w:pPr>
            <w:r>
              <w:t>Through housing</w:t>
            </w:r>
          </w:p>
          <w:p w14:paraId="00F60F4E" w14:textId="3B29EC7C" w:rsidR="00CF2989" w:rsidRDefault="00CF2989" w:rsidP="00CF2989">
            <w:pPr>
              <w:pStyle w:val="ListParagraph"/>
              <w:numPr>
                <w:ilvl w:val="0"/>
                <w:numId w:val="1"/>
              </w:numPr>
            </w:pPr>
            <w:r>
              <w:t>Stopped Housing</w:t>
            </w:r>
          </w:p>
          <w:p w14:paraId="526237C6" w14:textId="0DB2FA4F" w:rsidR="00CF2989" w:rsidRDefault="00CF2989" w:rsidP="00CF2989">
            <w:pPr>
              <w:pStyle w:val="ListParagraph"/>
              <w:numPr>
                <w:ilvl w:val="0"/>
                <w:numId w:val="1"/>
              </w:numPr>
            </w:pPr>
            <w:r>
              <w:t>Lap joint</w:t>
            </w:r>
          </w:p>
          <w:p w14:paraId="2639616C" w14:textId="745A80E3" w:rsidR="00CF2989" w:rsidRDefault="00CF2989" w:rsidP="00CF2989">
            <w:pPr>
              <w:pStyle w:val="ListParagraph"/>
              <w:numPr>
                <w:ilvl w:val="0"/>
                <w:numId w:val="1"/>
              </w:numPr>
            </w:pPr>
            <w:r>
              <w:t>T halving</w:t>
            </w:r>
          </w:p>
          <w:p w14:paraId="4F0F717C" w14:textId="390C9E2A" w:rsidR="00CF2989" w:rsidRDefault="00CF2989" w:rsidP="00CF2989">
            <w:pPr>
              <w:pStyle w:val="ListParagraph"/>
              <w:numPr>
                <w:ilvl w:val="0"/>
                <w:numId w:val="1"/>
              </w:numPr>
            </w:pPr>
            <w:r>
              <w:t>Cross halving</w:t>
            </w:r>
          </w:p>
          <w:p w14:paraId="1B3968DC" w14:textId="1B23DE27" w:rsidR="00CF2989" w:rsidRDefault="00CF2989" w:rsidP="00CF2989">
            <w:pPr>
              <w:spacing w:after="0" w:line="240" w:lineRule="auto"/>
            </w:pPr>
          </w:p>
        </w:tc>
      </w:tr>
      <w:tr w:rsidR="00651B83" w14:paraId="0123CB0F" w14:textId="77777777" w:rsidTr="00682AC9">
        <w:tc>
          <w:tcPr>
            <w:tcW w:w="1812" w:type="dxa"/>
            <w:tcBorders>
              <w:bottom w:val="single" w:sz="4" w:space="0" w:color="auto"/>
            </w:tcBorders>
          </w:tcPr>
          <w:p w14:paraId="32825582" w14:textId="77777777" w:rsidR="008059CF" w:rsidRDefault="008059CF" w:rsidP="00175478">
            <w:r>
              <w:t>S3</w:t>
            </w:r>
          </w:p>
        </w:tc>
        <w:tc>
          <w:tcPr>
            <w:tcW w:w="1732" w:type="dxa"/>
            <w:tcBorders>
              <w:bottom w:val="single" w:sz="4" w:space="0" w:color="auto"/>
            </w:tcBorders>
          </w:tcPr>
          <w:p w14:paraId="357F94CC" w14:textId="77777777" w:rsidR="00CF2989" w:rsidRDefault="00682AC9" w:rsidP="00175478">
            <w:r>
              <w:t>Graphic Communication</w:t>
            </w:r>
          </w:p>
          <w:p w14:paraId="08FAB272" w14:textId="77777777" w:rsidR="00CF2989" w:rsidRDefault="00CF2989" w:rsidP="00175478"/>
          <w:p w14:paraId="0E28DFDC" w14:textId="786476BB" w:rsidR="00CF2989" w:rsidRDefault="00CF2989" w:rsidP="00175478">
            <w:r>
              <w:t>Practical Craft Skills</w:t>
            </w:r>
          </w:p>
        </w:tc>
        <w:tc>
          <w:tcPr>
            <w:tcW w:w="2552" w:type="dxa"/>
            <w:tcBorders>
              <w:bottom w:val="single" w:sz="4" w:space="0" w:color="auto"/>
            </w:tcBorders>
          </w:tcPr>
          <w:p w14:paraId="4AED4F1F" w14:textId="77777777" w:rsidR="008059CF" w:rsidRDefault="00CF2989" w:rsidP="00175478">
            <w:pPr>
              <w:rPr>
                <w:sz w:val="18"/>
                <w:szCs w:val="18"/>
              </w:rPr>
            </w:pPr>
            <w:r>
              <w:rPr>
                <w:sz w:val="18"/>
                <w:szCs w:val="18"/>
              </w:rPr>
              <w:t xml:space="preserve">Mr </w:t>
            </w:r>
            <w:proofErr w:type="spellStart"/>
            <w:r>
              <w:rPr>
                <w:sz w:val="18"/>
                <w:szCs w:val="18"/>
              </w:rPr>
              <w:t>Rollings</w:t>
            </w:r>
            <w:proofErr w:type="spellEnd"/>
            <w:r>
              <w:rPr>
                <w:sz w:val="18"/>
                <w:szCs w:val="18"/>
              </w:rPr>
              <w:t xml:space="preserve"> has supplied PowerPoints on Show my homework.</w:t>
            </w:r>
          </w:p>
          <w:p w14:paraId="015F0775" w14:textId="77777777" w:rsidR="00CF2989" w:rsidRDefault="00CF2989" w:rsidP="00175478">
            <w:pPr>
              <w:rPr>
                <w:sz w:val="18"/>
                <w:szCs w:val="18"/>
              </w:rPr>
            </w:pPr>
          </w:p>
          <w:p w14:paraId="6FA3DBA5" w14:textId="05DD78EB" w:rsidR="00CF2989" w:rsidRDefault="00CF2989" w:rsidP="00175478">
            <w:pPr>
              <w:rPr>
                <w:sz w:val="18"/>
                <w:szCs w:val="18"/>
              </w:rPr>
            </w:pPr>
            <w:r>
              <w:rPr>
                <w:sz w:val="18"/>
                <w:szCs w:val="18"/>
              </w:rPr>
              <w:t xml:space="preserve">None so far. </w:t>
            </w:r>
          </w:p>
        </w:tc>
        <w:tc>
          <w:tcPr>
            <w:tcW w:w="2410" w:type="dxa"/>
            <w:vMerge/>
            <w:tcBorders>
              <w:bottom w:val="single" w:sz="4" w:space="0" w:color="auto"/>
            </w:tcBorders>
          </w:tcPr>
          <w:p w14:paraId="7C2E3522" w14:textId="77777777" w:rsidR="008059CF" w:rsidRDefault="008059CF" w:rsidP="00175478"/>
        </w:tc>
        <w:tc>
          <w:tcPr>
            <w:tcW w:w="6804" w:type="dxa"/>
            <w:vMerge/>
            <w:tcBorders>
              <w:bottom w:val="single" w:sz="4" w:space="0" w:color="auto"/>
            </w:tcBorders>
          </w:tcPr>
          <w:p w14:paraId="4A56DB31" w14:textId="77777777" w:rsidR="008059CF" w:rsidRDefault="008059CF" w:rsidP="00175478"/>
        </w:tc>
      </w:tr>
      <w:tr w:rsidR="00651B83" w14:paraId="47F532B4" w14:textId="77777777" w:rsidTr="00682AC9">
        <w:trPr>
          <w:trHeight w:val="1197"/>
        </w:trPr>
        <w:tc>
          <w:tcPr>
            <w:tcW w:w="1812" w:type="dxa"/>
          </w:tcPr>
          <w:p w14:paraId="5531B346" w14:textId="0B9D0FCA" w:rsidR="00651B83" w:rsidRDefault="00651B83" w:rsidP="00175478">
            <w:r>
              <w:t>S4</w:t>
            </w:r>
            <w:r w:rsidR="00CF2989">
              <w:t>/5/6</w:t>
            </w:r>
          </w:p>
        </w:tc>
        <w:tc>
          <w:tcPr>
            <w:tcW w:w="1732" w:type="dxa"/>
          </w:tcPr>
          <w:p w14:paraId="01652C78" w14:textId="237373CE" w:rsidR="00651B83" w:rsidRDefault="00CF2989" w:rsidP="00175478">
            <w:r>
              <w:t>Graphic Communication</w:t>
            </w:r>
          </w:p>
          <w:p w14:paraId="1F2E5AE3" w14:textId="44E2B047" w:rsidR="00CF2989" w:rsidRDefault="00CF2989" w:rsidP="00175478">
            <w:r>
              <w:t>National 5 &amp; Higher</w:t>
            </w:r>
          </w:p>
          <w:p w14:paraId="236508D5" w14:textId="77777777" w:rsidR="00CF2989" w:rsidRDefault="00CF2989" w:rsidP="00175478"/>
          <w:p w14:paraId="7538C876" w14:textId="77777777" w:rsidR="00CF2989" w:rsidRDefault="00CF2989" w:rsidP="00175478"/>
          <w:p w14:paraId="2FF364B8" w14:textId="77777777" w:rsidR="00CF2989" w:rsidRDefault="00CF2989" w:rsidP="00175478"/>
          <w:p w14:paraId="6EB76071" w14:textId="0B1EF2EE" w:rsidR="00CF2989" w:rsidRDefault="00CF2989" w:rsidP="00175478">
            <w:r>
              <w:t>Practical Woodwork</w:t>
            </w:r>
          </w:p>
        </w:tc>
        <w:tc>
          <w:tcPr>
            <w:tcW w:w="2552" w:type="dxa"/>
          </w:tcPr>
          <w:p w14:paraId="0BFBB675" w14:textId="1ACDE51B" w:rsidR="00651B83" w:rsidRDefault="00CF2989" w:rsidP="00175478">
            <w:pPr>
              <w:rPr>
                <w:sz w:val="18"/>
                <w:szCs w:val="18"/>
              </w:rPr>
            </w:pPr>
            <w:r>
              <w:rPr>
                <w:sz w:val="18"/>
                <w:szCs w:val="18"/>
              </w:rPr>
              <w:lastRenderedPageBreak/>
              <w:t>Task 1. Design a poster</w:t>
            </w:r>
          </w:p>
        </w:tc>
        <w:tc>
          <w:tcPr>
            <w:tcW w:w="2410" w:type="dxa"/>
          </w:tcPr>
          <w:p w14:paraId="52934D17" w14:textId="040880A8" w:rsidR="00651B83" w:rsidRDefault="00651B83" w:rsidP="00175478">
            <w:r>
              <w:t>Glow email - any time</w:t>
            </w:r>
          </w:p>
        </w:tc>
        <w:tc>
          <w:tcPr>
            <w:tcW w:w="6804" w:type="dxa"/>
          </w:tcPr>
          <w:p w14:paraId="54CB177E" w14:textId="77777777" w:rsidR="00651B83" w:rsidRDefault="00CF2989" w:rsidP="00175478">
            <w:r>
              <w:t xml:space="preserve">Design a poster to celebrate the NHS and all the work the staff have been doing </w:t>
            </w:r>
            <w:proofErr w:type="gramStart"/>
            <w:r>
              <w:t>at this time</w:t>
            </w:r>
            <w:proofErr w:type="gramEnd"/>
            <w:r>
              <w:t>. Use Design Elements and Principles within the poster. These can be done by hand and photographed in. Alternatively, use PowerPoint or paint or any other software you have access to. All links to tutorials can be found on school website.</w:t>
            </w:r>
          </w:p>
          <w:p w14:paraId="5A1F1CB6" w14:textId="77777777" w:rsidR="00CF2989" w:rsidRDefault="00CF2989" w:rsidP="00175478"/>
          <w:p w14:paraId="0DBF4D6D" w14:textId="77777777" w:rsidR="00CF2989" w:rsidRDefault="00CF2989" w:rsidP="00175478"/>
          <w:p w14:paraId="3F0C986B" w14:textId="77777777" w:rsidR="00CF2989" w:rsidRDefault="00CF2989" w:rsidP="00175478"/>
          <w:p w14:paraId="66EA5CC0" w14:textId="7A04BA89" w:rsidR="00CF2989" w:rsidRDefault="00CF2989" w:rsidP="00175478">
            <w:r>
              <w:t xml:space="preserve">There are logbooks on the school website which can be downloaded. These </w:t>
            </w:r>
            <w:proofErr w:type="gramStart"/>
            <w:r>
              <w:t>have to</w:t>
            </w:r>
            <w:proofErr w:type="gramEnd"/>
            <w:r>
              <w:t xml:space="preserve"> be filled in kept as part of your record of work. Details and links can be found on school website.</w:t>
            </w:r>
          </w:p>
        </w:tc>
      </w:tr>
      <w:tr w:rsidR="00651B83" w14:paraId="409E588C" w14:textId="77777777" w:rsidTr="00682AC9">
        <w:trPr>
          <w:trHeight w:val="1063"/>
        </w:trPr>
        <w:tc>
          <w:tcPr>
            <w:tcW w:w="1812" w:type="dxa"/>
          </w:tcPr>
          <w:p w14:paraId="32F029F8" w14:textId="799DD588" w:rsidR="00821F9F" w:rsidRDefault="00821F9F" w:rsidP="00651B83"/>
        </w:tc>
        <w:tc>
          <w:tcPr>
            <w:tcW w:w="1732" w:type="dxa"/>
          </w:tcPr>
          <w:p w14:paraId="4286D35B" w14:textId="287A5F11" w:rsidR="00821F9F" w:rsidRDefault="00821F9F" w:rsidP="00175478"/>
        </w:tc>
        <w:tc>
          <w:tcPr>
            <w:tcW w:w="2552" w:type="dxa"/>
          </w:tcPr>
          <w:p w14:paraId="49670FBE" w14:textId="6AE6849D" w:rsidR="00651B83" w:rsidRPr="4F725235" w:rsidRDefault="00651B83" w:rsidP="00175478">
            <w:pPr>
              <w:rPr>
                <w:sz w:val="18"/>
                <w:szCs w:val="18"/>
              </w:rPr>
            </w:pPr>
          </w:p>
        </w:tc>
        <w:tc>
          <w:tcPr>
            <w:tcW w:w="2410" w:type="dxa"/>
          </w:tcPr>
          <w:p w14:paraId="11D3C305" w14:textId="7E931055" w:rsidR="00821F9F" w:rsidRDefault="00821F9F" w:rsidP="00175478"/>
        </w:tc>
        <w:tc>
          <w:tcPr>
            <w:tcW w:w="6804" w:type="dxa"/>
            <w:tcBorders>
              <w:bottom w:val="nil"/>
            </w:tcBorders>
          </w:tcPr>
          <w:p w14:paraId="03ED45E0" w14:textId="227506D0" w:rsidR="00651B83" w:rsidRDefault="00651B83" w:rsidP="00175478"/>
        </w:tc>
      </w:tr>
    </w:tbl>
    <w:p w14:paraId="24A6EE05" w14:textId="77777777" w:rsidR="00D258ED" w:rsidRDefault="00D258ED" w:rsidP="00D258ED"/>
    <w:p w14:paraId="3200FED4" w14:textId="4A429A6C" w:rsidR="00D258ED" w:rsidRDefault="00CF2989" w:rsidP="00C67D85">
      <w:pPr>
        <w:spacing w:after="0" w:line="240" w:lineRule="auto"/>
        <w:ind w:left="-709"/>
        <w:rPr>
          <w:b/>
          <w:bCs/>
        </w:rPr>
      </w:pPr>
      <w:r>
        <w:rPr>
          <w:b/>
          <w:bCs/>
        </w:rPr>
        <w:t xml:space="preserve">Anyone wishing to take Graphic Communication or Practical Woodwork/metalwork </w:t>
      </w:r>
      <w:r w:rsidR="00D628BB">
        <w:rPr>
          <w:b/>
          <w:bCs/>
        </w:rPr>
        <w:t xml:space="preserve">next year </w:t>
      </w:r>
      <w:r>
        <w:rPr>
          <w:b/>
          <w:bCs/>
        </w:rPr>
        <w:t xml:space="preserve">please contact Mr Sweeney </w:t>
      </w:r>
      <w:r w:rsidR="00D628BB">
        <w:rPr>
          <w:b/>
          <w:bCs/>
        </w:rPr>
        <w:t xml:space="preserve">immediately. This will allow us to set up Glow groups and pass on learning materials. </w:t>
      </w:r>
    </w:p>
    <w:p w14:paraId="782AFFDE" w14:textId="24A6D14D" w:rsidR="00D628BB" w:rsidRDefault="00D628BB" w:rsidP="00C67D85">
      <w:pPr>
        <w:spacing w:after="0" w:line="240" w:lineRule="auto"/>
        <w:ind w:left="-709"/>
        <w:rPr>
          <w:b/>
          <w:bCs/>
        </w:rPr>
      </w:pPr>
    </w:p>
    <w:p w14:paraId="64833DFA" w14:textId="674C3F20" w:rsidR="00D628BB" w:rsidRDefault="00D628BB" w:rsidP="00D628BB">
      <w:pPr>
        <w:spacing w:after="0" w:line="240" w:lineRule="auto"/>
        <w:ind w:left="-709"/>
        <w:rPr>
          <w:b/>
          <w:bCs/>
        </w:rPr>
      </w:pPr>
      <w:r>
        <w:rPr>
          <w:b/>
          <w:bCs/>
        </w:rPr>
        <w:t xml:space="preserve">Principal Teacher of Technical Mr A’Hara: </w:t>
      </w:r>
      <w:hyperlink r:id="rId5" w:history="1">
        <w:r w:rsidRPr="00675D9F">
          <w:rPr>
            <w:rStyle w:val="Hyperlink"/>
            <w:b/>
            <w:bCs/>
          </w:rPr>
          <w:t>gw10aharaedward@glow.sch.u</w:t>
        </w:r>
        <w:r w:rsidRPr="00675D9F">
          <w:rPr>
            <w:rStyle w:val="Hyperlink"/>
            <w:b/>
            <w:bCs/>
          </w:rPr>
          <w:t>k</w:t>
        </w:r>
      </w:hyperlink>
    </w:p>
    <w:p w14:paraId="731EA7A2" w14:textId="77777777" w:rsidR="00D628BB" w:rsidRDefault="00D628BB" w:rsidP="00D628BB">
      <w:pPr>
        <w:spacing w:after="0" w:line="240" w:lineRule="auto"/>
        <w:ind w:left="-709"/>
        <w:rPr>
          <w:b/>
          <w:bCs/>
        </w:rPr>
      </w:pPr>
    </w:p>
    <w:p w14:paraId="0748E93A" w14:textId="7A11E77C" w:rsidR="00D628BB" w:rsidRDefault="00D628BB" w:rsidP="00D628BB">
      <w:pPr>
        <w:spacing w:after="0" w:line="240" w:lineRule="auto"/>
        <w:rPr>
          <w:b/>
          <w:bCs/>
        </w:rPr>
      </w:pPr>
      <w:r>
        <w:rPr>
          <w:b/>
          <w:bCs/>
        </w:rPr>
        <w:t xml:space="preserve">Mr Sweeney: </w:t>
      </w:r>
      <w:hyperlink r:id="rId6" w:history="1">
        <w:r w:rsidRPr="00675D9F">
          <w:rPr>
            <w:rStyle w:val="Hyperlink"/>
            <w:b/>
            <w:bCs/>
          </w:rPr>
          <w:t>gw12sweeneypatrick@glow.sch.uk</w:t>
        </w:r>
      </w:hyperlink>
    </w:p>
    <w:p w14:paraId="1BEA8725" w14:textId="77777777" w:rsidR="00D628BB" w:rsidRDefault="00D628BB" w:rsidP="00D628BB">
      <w:pPr>
        <w:spacing w:after="0" w:line="240" w:lineRule="auto"/>
        <w:rPr>
          <w:b/>
          <w:bCs/>
        </w:rPr>
      </w:pPr>
      <w:bookmarkStart w:id="0" w:name="_GoBack"/>
      <w:bookmarkEnd w:id="0"/>
    </w:p>
    <w:p w14:paraId="104E11C0" w14:textId="52A7FDA9" w:rsidR="00D628BB" w:rsidRDefault="00D628BB" w:rsidP="00D628BB">
      <w:pPr>
        <w:spacing w:after="0" w:line="240" w:lineRule="auto"/>
        <w:rPr>
          <w:b/>
          <w:bCs/>
        </w:rPr>
      </w:pPr>
      <w:r>
        <w:rPr>
          <w:b/>
          <w:bCs/>
        </w:rPr>
        <w:t xml:space="preserve">Mr </w:t>
      </w:r>
      <w:proofErr w:type="spellStart"/>
      <w:r>
        <w:rPr>
          <w:b/>
          <w:bCs/>
        </w:rPr>
        <w:t>Rollings</w:t>
      </w:r>
      <w:proofErr w:type="spellEnd"/>
      <w:r>
        <w:rPr>
          <w:b/>
          <w:bCs/>
        </w:rPr>
        <w:t xml:space="preserve">: </w:t>
      </w:r>
      <w:hyperlink r:id="rId7" w:history="1">
        <w:r w:rsidRPr="00675D9F">
          <w:rPr>
            <w:rStyle w:val="Hyperlink"/>
            <w:b/>
            <w:bCs/>
          </w:rPr>
          <w:t>gw18rollingsalexhal@glow.sch.uk</w:t>
        </w:r>
      </w:hyperlink>
    </w:p>
    <w:p w14:paraId="65CB83DD" w14:textId="0DE37B52" w:rsidR="00D628BB" w:rsidRDefault="00D628BB" w:rsidP="00C67D85">
      <w:pPr>
        <w:spacing w:after="0" w:line="240" w:lineRule="auto"/>
        <w:ind w:left="-709"/>
        <w:rPr>
          <w:b/>
          <w:bCs/>
        </w:rPr>
      </w:pPr>
    </w:p>
    <w:p w14:paraId="6AFEC118" w14:textId="77777777" w:rsidR="00D628BB" w:rsidRPr="00D258ED" w:rsidRDefault="00D628BB" w:rsidP="00C67D85">
      <w:pPr>
        <w:spacing w:after="0" w:line="240" w:lineRule="auto"/>
        <w:ind w:left="-709"/>
        <w:rPr>
          <w:b/>
          <w:bCs/>
        </w:rPr>
      </w:pPr>
    </w:p>
    <w:sectPr w:rsidR="00D628BB" w:rsidRPr="00D258ED" w:rsidSect="00821F9F">
      <w:pgSz w:w="16838" w:h="11906" w:orient="landscape"/>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01DF"/>
    <w:multiLevelType w:val="hybridMultilevel"/>
    <w:tmpl w:val="DABA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D"/>
    <w:rsid w:val="005A4675"/>
    <w:rsid w:val="006247E0"/>
    <w:rsid w:val="00651B83"/>
    <w:rsid w:val="00682AC9"/>
    <w:rsid w:val="008059CF"/>
    <w:rsid w:val="00821F9F"/>
    <w:rsid w:val="00C67D85"/>
    <w:rsid w:val="00CF2989"/>
    <w:rsid w:val="00D258ED"/>
    <w:rsid w:val="00D6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A72"/>
  <w15:chartTrackingRefBased/>
  <w15:docId w15:val="{4EF3CEEF-D2E2-41FC-B90C-31B642B2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8ED"/>
    <w:rPr>
      <w:color w:val="0000FF"/>
      <w:u w:val="single"/>
    </w:rPr>
  </w:style>
  <w:style w:type="table" w:styleId="TableGrid">
    <w:name w:val="Table Grid"/>
    <w:basedOn w:val="TableNormal"/>
    <w:uiPriority w:val="59"/>
    <w:rsid w:val="00D2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989"/>
    <w:pPr>
      <w:ind w:left="720"/>
      <w:contextualSpacing/>
    </w:pPr>
  </w:style>
  <w:style w:type="character" w:styleId="UnresolvedMention">
    <w:name w:val="Unresolved Mention"/>
    <w:basedOn w:val="DefaultParagraphFont"/>
    <w:uiPriority w:val="99"/>
    <w:semiHidden/>
    <w:unhideWhenUsed/>
    <w:rsid w:val="00D62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18rollingsalexhal@g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2sweeneypatrick@glow.sch.uk" TargetMode="External"/><Relationship Id="rId5" Type="http://schemas.openxmlformats.org/officeDocument/2006/relationships/hyperlink" Target="mailto:gw10aharaedward@glow.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STANLEY</dc:creator>
  <cp:keywords/>
  <dc:description/>
  <cp:lastModifiedBy>pat sweeney</cp:lastModifiedBy>
  <cp:revision>2</cp:revision>
  <dcterms:created xsi:type="dcterms:W3CDTF">2020-04-02T18:51:00Z</dcterms:created>
  <dcterms:modified xsi:type="dcterms:W3CDTF">2020-04-02T18:51:00Z</dcterms:modified>
</cp:coreProperties>
</file>